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B9F" w:rsidRDefault="00432B9F" w:rsidP="00811076">
      <w:pPr>
        <w:spacing w:after="0" w:line="240" w:lineRule="auto"/>
      </w:pPr>
    </w:p>
    <w:p w:rsidR="006C3BA1" w:rsidRDefault="00432B9F" w:rsidP="00811076">
      <w:pPr>
        <w:spacing w:after="0" w:line="240" w:lineRule="auto"/>
        <w:rPr>
          <w:i/>
        </w:rPr>
      </w:pPr>
      <w:r w:rsidRPr="00432B9F">
        <w:rPr>
          <w:i/>
        </w:rPr>
        <w:t xml:space="preserve">The </w:t>
      </w:r>
      <w:r>
        <w:rPr>
          <w:i/>
        </w:rPr>
        <w:t xml:space="preserve">anonymous </w:t>
      </w:r>
      <w:r w:rsidRPr="00432B9F">
        <w:rPr>
          <w:i/>
        </w:rPr>
        <w:t xml:space="preserve">feedback that you provide will assist </w:t>
      </w:r>
      <w:r w:rsidR="00D801DA">
        <w:rPr>
          <w:i/>
        </w:rPr>
        <w:t>the facilitators</w:t>
      </w:r>
      <w:r w:rsidRPr="00432B9F">
        <w:rPr>
          <w:i/>
        </w:rPr>
        <w:t xml:space="preserve"> in understanding the learning experience from your perspective, suggestions for future Interprofessional events, and </w:t>
      </w:r>
      <w:r w:rsidR="00D801DA">
        <w:rPr>
          <w:i/>
        </w:rPr>
        <w:t>whether</w:t>
      </w:r>
      <w:r w:rsidRPr="00432B9F">
        <w:rPr>
          <w:i/>
        </w:rPr>
        <w:t xml:space="preserve"> the learning objectives from the IPE event were met. Your feedback is </w:t>
      </w:r>
      <w:r>
        <w:rPr>
          <w:i/>
        </w:rPr>
        <w:t>valued.</w:t>
      </w:r>
    </w:p>
    <w:p w:rsidR="00432B9F" w:rsidRDefault="00432B9F" w:rsidP="00811076">
      <w:pPr>
        <w:spacing w:after="0" w:line="240" w:lineRule="auto"/>
        <w:rPr>
          <w:i/>
        </w:rPr>
      </w:pPr>
    </w:p>
    <w:p w:rsidR="00D801DA" w:rsidRPr="00E768D7" w:rsidRDefault="00D801DA" w:rsidP="00811076">
      <w:pPr>
        <w:spacing w:after="0" w:line="240" w:lineRule="auto"/>
      </w:pPr>
      <w:r w:rsidRPr="00E768D7">
        <w:t xml:space="preserve">Please circle the response that best represents your self-assessment of knowledge and/or ability(ies) before AND after </w:t>
      </w:r>
      <w:r w:rsidR="00D10A33" w:rsidRPr="00E768D7">
        <w:t xml:space="preserve">participating in </w:t>
      </w:r>
      <w:r w:rsidRPr="00E768D7">
        <w:t>this event</w:t>
      </w:r>
      <w:r w:rsidR="002E4015" w:rsidRPr="00E768D7">
        <w:t>:</w:t>
      </w:r>
    </w:p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7116"/>
        <w:gridCol w:w="910"/>
        <w:gridCol w:w="911"/>
        <w:gridCol w:w="910"/>
        <w:gridCol w:w="911"/>
        <w:gridCol w:w="910"/>
        <w:gridCol w:w="911"/>
        <w:gridCol w:w="910"/>
        <w:gridCol w:w="911"/>
      </w:tblGrid>
      <w:tr w:rsidR="009735FE" w:rsidTr="004014E6">
        <w:trPr>
          <w:trHeight w:val="432"/>
        </w:trPr>
        <w:tc>
          <w:tcPr>
            <w:tcW w:w="7116" w:type="dxa"/>
            <w:vMerge w:val="restart"/>
            <w:vAlign w:val="center"/>
          </w:tcPr>
          <w:p w:rsidR="009735FE" w:rsidRPr="00D10A33" w:rsidRDefault="000B6FD5" w:rsidP="000B6FD5">
            <w:pPr>
              <w:jc w:val="center"/>
              <w:rPr>
                <w:b/>
              </w:rPr>
            </w:pPr>
            <w:r w:rsidRPr="00D10A33">
              <w:rPr>
                <w:b/>
              </w:rPr>
              <w:t>LEARNING OBJECTIVE</w:t>
            </w:r>
          </w:p>
        </w:tc>
        <w:tc>
          <w:tcPr>
            <w:tcW w:w="3642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35FE" w:rsidRPr="00E768D7" w:rsidRDefault="009735FE" w:rsidP="002E4015">
            <w:pPr>
              <w:jc w:val="center"/>
              <w:rPr>
                <w:b/>
              </w:rPr>
            </w:pPr>
            <w:r w:rsidRPr="00E768D7">
              <w:rPr>
                <w:b/>
              </w:rPr>
              <w:t>BEFORE THIS EVENT</w:t>
            </w:r>
          </w:p>
        </w:tc>
        <w:tc>
          <w:tcPr>
            <w:tcW w:w="3642" w:type="dxa"/>
            <w:gridSpan w:val="4"/>
            <w:tcBorders>
              <w:left w:val="single" w:sz="12" w:space="0" w:color="auto"/>
            </w:tcBorders>
            <w:vAlign w:val="center"/>
          </w:tcPr>
          <w:p w:rsidR="009735FE" w:rsidRPr="00E768D7" w:rsidRDefault="009735FE" w:rsidP="002E4015">
            <w:pPr>
              <w:jc w:val="center"/>
              <w:rPr>
                <w:b/>
              </w:rPr>
            </w:pPr>
            <w:r w:rsidRPr="00E768D7">
              <w:rPr>
                <w:b/>
              </w:rPr>
              <w:t>AFTER THIS EVENT</w:t>
            </w:r>
          </w:p>
        </w:tc>
      </w:tr>
      <w:tr w:rsidR="00A411FB" w:rsidTr="004014E6">
        <w:trPr>
          <w:trHeight w:val="576"/>
        </w:trPr>
        <w:tc>
          <w:tcPr>
            <w:tcW w:w="7116" w:type="dxa"/>
            <w:vMerge/>
            <w:vAlign w:val="center"/>
          </w:tcPr>
          <w:p w:rsidR="009735FE" w:rsidRDefault="009735FE" w:rsidP="002E4015"/>
        </w:tc>
        <w:tc>
          <w:tcPr>
            <w:tcW w:w="910" w:type="dxa"/>
            <w:shd w:val="clear" w:color="auto" w:fill="D9D9D9" w:themeFill="background1" w:themeFillShade="D9"/>
            <w:vAlign w:val="center"/>
          </w:tcPr>
          <w:p w:rsidR="009735FE" w:rsidRPr="009735FE" w:rsidRDefault="009735FE" w:rsidP="002E4015">
            <w:pPr>
              <w:jc w:val="center"/>
              <w:rPr>
                <w:b/>
              </w:rPr>
            </w:pPr>
            <w:r w:rsidRPr="009735FE">
              <w:rPr>
                <w:b/>
              </w:rPr>
              <w:t>Very Low</w:t>
            </w: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:rsidR="009735FE" w:rsidRPr="009735FE" w:rsidRDefault="009735FE" w:rsidP="002E4015">
            <w:pPr>
              <w:jc w:val="center"/>
              <w:rPr>
                <w:b/>
              </w:rPr>
            </w:pPr>
            <w:r w:rsidRPr="009735FE">
              <w:rPr>
                <w:b/>
              </w:rPr>
              <w:t>Low</w:t>
            </w:r>
          </w:p>
        </w:tc>
        <w:tc>
          <w:tcPr>
            <w:tcW w:w="910" w:type="dxa"/>
            <w:shd w:val="clear" w:color="auto" w:fill="D9D9D9" w:themeFill="background1" w:themeFillShade="D9"/>
            <w:vAlign w:val="center"/>
          </w:tcPr>
          <w:p w:rsidR="009735FE" w:rsidRPr="009735FE" w:rsidRDefault="009735FE" w:rsidP="002E4015">
            <w:pPr>
              <w:jc w:val="center"/>
              <w:rPr>
                <w:b/>
              </w:rPr>
            </w:pPr>
            <w:r w:rsidRPr="009735FE">
              <w:rPr>
                <w:b/>
              </w:rPr>
              <w:t>High</w:t>
            </w:r>
          </w:p>
        </w:tc>
        <w:tc>
          <w:tcPr>
            <w:tcW w:w="91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35FE" w:rsidRPr="009735FE" w:rsidRDefault="009735FE" w:rsidP="002E4015">
            <w:pPr>
              <w:jc w:val="center"/>
              <w:rPr>
                <w:b/>
              </w:rPr>
            </w:pPr>
            <w:r w:rsidRPr="009735FE">
              <w:rPr>
                <w:b/>
              </w:rPr>
              <w:t>Very High</w:t>
            </w:r>
          </w:p>
        </w:tc>
        <w:tc>
          <w:tcPr>
            <w:tcW w:w="910" w:type="dxa"/>
            <w:tcBorders>
              <w:left w:val="single" w:sz="12" w:space="0" w:color="auto"/>
            </w:tcBorders>
            <w:vAlign w:val="center"/>
          </w:tcPr>
          <w:p w:rsidR="009735FE" w:rsidRPr="009735FE" w:rsidRDefault="009735FE" w:rsidP="002E4015">
            <w:pPr>
              <w:jc w:val="center"/>
              <w:rPr>
                <w:b/>
              </w:rPr>
            </w:pPr>
            <w:r w:rsidRPr="009735FE">
              <w:rPr>
                <w:b/>
              </w:rPr>
              <w:t>Very Low</w:t>
            </w:r>
          </w:p>
        </w:tc>
        <w:tc>
          <w:tcPr>
            <w:tcW w:w="911" w:type="dxa"/>
            <w:vAlign w:val="center"/>
          </w:tcPr>
          <w:p w:rsidR="009735FE" w:rsidRPr="009735FE" w:rsidRDefault="009735FE" w:rsidP="002E4015">
            <w:pPr>
              <w:jc w:val="center"/>
              <w:rPr>
                <w:b/>
              </w:rPr>
            </w:pPr>
            <w:r w:rsidRPr="009735FE">
              <w:rPr>
                <w:b/>
              </w:rPr>
              <w:t>Low</w:t>
            </w:r>
          </w:p>
        </w:tc>
        <w:tc>
          <w:tcPr>
            <w:tcW w:w="910" w:type="dxa"/>
            <w:vAlign w:val="center"/>
          </w:tcPr>
          <w:p w:rsidR="009735FE" w:rsidRPr="009735FE" w:rsidRDefault="009735FE" w:rsidP="002E4015">
            <w:pPr>
              <w:jc w:val="center"/>
              <w:rPr>
                <w:b/>
              </w:rPr>
            </w:pPr>
            <w:r w:rsidRPr="009735FE">
              <w:rPr>
                <w:b/>
              </w:rPr>
              <w:t>High</w:t>
            </w:r>
          </w:p>
        </w:tc>
        <w:tc>
          <w:tcPr>
            <w:tcW w:w="911" w:type="dxa"/>
            <w:vAlign w:val="center"/>
          </w:tcPr>
          <w:p w:rsidR="009735FE" w:rsidRPr="009735FE" w:rsidRDefault="009735FE" w:rsidP="002E4015">
            <w:pPr>
              <w:jc w:val="center"/>
              <w:rPr>
                <w:b/>
              </w:rPr>
            </w:pPr>
            <w:r w:rsidRPr="009735FE">
              <w:rPr>
                <w:b/>
              </w:rPr>
              <w:t>Very High</w:t>
            </w:r>
          </w:p>
        </w:tc>
      </w:tr>
      <w:tr w:rsidR="00A411FB" w:rsidTr="004014E6">
        <w:trPr>
          <w:trHeight w:val="1008"/>
        </w:trPr>
        <w:tc>
          <w:tcPr>
            <w:tcW w:w="7116" w:type="dxa"/>
            <w:vAlign w:val="center"/>
          </w:tcPr>
          <w:p w:rsidR="009735FE" w:rsidRPr="002E4015" w:rsidRDefault="00D10A33" w:rsidP="002E4015">
            <w:pPr>
              <w:rPr>
                <w:sz w:val="20"/>
                <w:szCs w:val="20"/>
              </w:rPr>
            </w:pPr>
            <w:r w:rsidRPr="002E4015">
              <w:rPr>
                <w:sz w:val="20"/>
                <w:szCs w:val="20"/>
              </w:rPr>
              <w:t>Define interprofessional education.</w:t>
            </w:r>
          </w:p>
        </w:tc>
        <w:tc>
          <w:tcPr>
            <w:tcW w:w="910" w:type="dxa"/>
            <w:shd w:val="clear" w:color="auto" w:fill="D9D9D9" w:themeFill="background1" w:themeFillShade="D9"/>
            <w:vAlign w:val="center"/>
          </w:tcPr>
          <w:p w:rsidR="009735FE" w:rsidRPr="00E768D7" w:rsidRDefault="009735FE" w:rsidP="002E4015">
            <w:pPr>
              <w:jc w:val="center"/>
              <w:rPr>
                <w:b/>
                <w:sz w:val="20"/>
                <w:szCs w:val="20"/>
              </w:rPr>
            </w:pPr>
            <w:r w:rsidRPr="00E768D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:rsidR="009735FE" w:rsidRPr="00E768D7" w:rsidRDefault="009735FE" w:rsidP="002E4015">
            <w:pPr>
              <w:jc w:val="center"/>
              <w:rPr>
                <w:b/>
                <w:sz w:val="20"/>
                <w:szCs w:val="20"/>
              </w:rPr>
            </w:pPr>
            <w:r w:rsidRPr="00E768D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0" w:type="dxa"/>
            <w:shd w:val="clear" w:color="auto" w:fill="D9D9D9" w:themeFill="background1" w:themeFillShade="D9"/>
            <w:vAlign w:val="center"/>
          </w:tcPr>
          <w:p w:rsidR="009735FE" w:rsidRPr="00E768D7" w:rsidRDefault="009735FE" w:rsidP="002E4015">
            <w:pPr>
              <w:jc w:val="center"/>
              <w:rPr>
                <w:b/>
                <w:sz w:val="20"/>
                <w:szCs w:val="20"/>
              </w:rPr>
            </w:pPr>
            <w:r w:rsidRPr="00E768D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1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35FE" w:rsidRPr="00E768D7" w:rsidRDefault="009735FE" w:rsidP="002E4015">
            <w:pPr>
              <w:jc w:val="center"/>
              <w:rPr>
                <w:b/>
                <w:sz w:val="20"/>
                <w:szCs w:val="20"/>
              </w:rPr>
            </w:pPr>
            <w:r w:rsidRPr="00E768D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10" w:type="dxa"/>
            <w:tcBorders>
              <w:left w:val="single" w:sz="12" w:space="0" w:color="auto"/>
            </w:tcBorders>
            <w:vAlign w:val="center"/>
          </w:tcPr>
          <w:p w:rsidR="009735FE" w:rsidRPr="00E768D7" w:rsidRDefault="009735FE" w:rsidP="002E4015">
            <w:pPr>
              <w:jc w:val="center"/>
              <w:rPr>
                <w:b/>
                <w:sz w:val="20"/>
                <w:szCs w:val="20"/>
              </w:rPr>
            </w:pPr>
            <w:r w:rsidRPr="00E768D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11" w:type="dxa"/>
            <w:vAlign w:val="center"/>
          </w:tcPr>
          <w:p w:rsidR="009735FE" w:rsidRPr="00E768D7" w:rsidRDefault="009735FE" w:rsidP="002E4015">
            <w:pPr>
              <w:jc w:val="center"/>
              <w:rPr>
                <w:b/>
                <w:sz w:val="20"/>
                <w:szCs w:val="20"/>
              </w:rPr>
            </w:pPr>
            <w:r w:rsidRPr="00E768D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0" w:type="dxa"/>
            <w:vAlign w:val="center"/>
          </w:tcPr>
          <w:p w:rsidR="009735FE" w:rsidRPr="00E768D7" w:rsidRDefault="009735FE" w:rsidP="002E4015">
            <w:pPr>
              <w:jc w:val="center"/>
              <w:rPr>
                <w:b/>
                <w:sz w:val="20"/>
                <w:szCs w:val="20"/>
              </w:rPr>
            </w:pPr>
            <w:r w:rsidRPr="00E768D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11" w:type="dxa"/>
            <w:vAlign w:val="center"/>
          </w:tcPr>
          <w:p w:rsidR="009735FE" w:rsidRPr="00E768D7" w:rsidRDefault="009735FE" w:rsidP="002E4015">
            <w:pPr>
              <w:jc w:val="center"/>
              <w:rPr>
                <w:b/>
                <w:sz w:val="20"/>
                <w:szCs w:val="20"/>
              </w:rPr>
            </w:pPr>
            <w:r w:rsidRPr="00E768D7">
              <w:rPr>
                <w:b/>
                <w:sz w:val="20"/>
                <w:szCs w:val="20"/>
              </w:rPr>
              <w:t>4</w:t>
            </w:r>
          </w:p>
        </w:tc>
      </w:tr>
      <w:tr w:rsidR="00A411FB" w:rsidTr="004014E6">
        <w:trPr>
          <w:trHeight w:val="1008"/>
        </w:trPr>
        <w:tc>
          <w:tcPr>
            <w:tcW w:w="7116" w:type="dxa"/>
            <w:vAlign w:val="center"/>
          </w:tcPr>
          <w:p w:rsidR="00D10A33" w:rsidRPr="002E4015" w:rsidRDefault="00D10A33" w:rsidP="00E768D7">
            <w:pPr>
              <w:tabs>
                <w:tab w:val="num" w:pos="720"/>
              </w:tabs>
              <w:rPr>
                <w:sz w:val="20"/>
                <w:szCs w:val="20"/>
              </w:rPr>
            </w:pPr>
            <w:r w:rsidRPr="002E4015">
              <w:rPr>
                <w:sz w:val="20"/>
                <w:szCs w:val="20"/>
              </w:rPr>
              <w:t>Describe the roles of fellow health professions team members encountered in the event, and how they contribute to patient care.</w:t>
            </w:r>
          </w:p>
        </w:tc>
        <w:tc>
          <w:tcPr>
            <w:tcW w:w="910" w:type="dxa"/>
            <w:shd w:val="clear" w:color="auto" w:fill="D9D9D9" w:themeFill="background1" w:themeFillShade="D9"/>
            <w:vAlign w:val="center"/>
          </w:tcPr>
          <w:p w:rsidR="00D10A33" w:rsidRPr="00E768D7" w:rsidRDefault="00D10A33" w:rsidP="002E4015">
            <w:pPr>
              <w:jc w:val="center"/>
              <w:rPr>
                <w:b/>
                <w:sz w:val="20"/>
                <w:szCs w:val="20"/>
              </w:rPr>
            </w:pPr>
            <w:r w:rsidRPr="00E768D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:rsidR="00D10A33" w:rsidRPr="00E768D7" w:rsidRDefault="00D10A33" w:rsidP="002E4015">
            <w:pPr>
              <w:jc w:val="center"/>
              <w:rPr>
                <w:b/>
                <w:sz w:val="20"/>
                <w:szCs w:val="20"/>
              </w:rPr>
            </w:pPr>
            <w:r w:rsidRPr="00E768D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0" w:type="dxa"/>
            <w:shd w:val="clear" w:color="auto" w:fill="D9D9D9" w:themeFill="background1" w:themeFillShade="D9"/>
            <w:vAlign w:val="center"/>
          </w:tcPr>
          <w:p w:rsidR="00D10A33" w:rsidRPr="00E768D7" w:rsidRDefault="00D10A33" w:rsidP="002E4015">
            <w:pPr>
              <w:jc w:val="center"/>
              <w:rPr>
                <w:b/>
                <w:sz w:val="20"/>
                <w:szCs w:val="20"/>
              </w:rPr>
            </w:pPr>
            <w:r w:rsidRPr="00E768D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1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10A33" w:rsidRPr="00E768D7" w:rsidRDefault="00D10A33" w:rsidP="002E4015">
            <w:pPr>
              <w:jc w:val="center"/>
              <w:rPr>
                <w:b/>
                <w:sz w:val="20"/>
                <w:szCs w:val="20"/>
              </w:rPr>
            </w:pPr>
            <w:r w:rsidRPr="00E768D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10" w:type="dxa"/>
            <w:tcBorders>
              <w:left w:val="single" w:sz="12" w:space="0" w:color="auto"/>
            </w:tcBorders>
            <w:vAlign w:val="center"/>
          </w:tcPr>
          <w:p w:rsidR="00D10A33" w:rsidRPr="00E768D7" w:rsidRDefault="00D10A33" w:rsidP="002E4015">
            <w:pPr>
              <w:jc w:val="center"/>
              <w:rPr>
                <w:b/>
                <w:sz w:val="20"/>
                <w:szCs w:val="20"/>
              </w:rPr>
            </w:pPr>
            <w:r w:rsidRPr="00E768D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11" w:type="dxa"/>
            <w:vAlign w:val="center"/>
          </w:tcPr>
          <w:p w:rsidR="00D10A33" w:rsidRPr="00E768D7" w:rsidRDefault="00D10A33" w:rsidP="002E4015">
            <w:pPr>
              <w:jc w:val="center"/>
              <w:rPr>
                <w:b/>
                <w:sz w:val="20"/>
                <w:szCs w:val="20"/>
              </w:rPr>
            </w:pPr>
            <w:r w:rsidRPr="00E768D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0" w:type="dxa"/>
            <w:vAlign w:val="center"/>
          </w:tcPr>
          <w:p w:rsidR="00D10A33" w:rsidRPr="00E768D7" w:rsidRDefault="00D10A33" w:rsidP="002E4015">
            <w:pPr>
              <w:jc w:val="center"/>
              <w:rPr>
                <w:b/>
                <w:sz w:val="20"/>
                <w:szCs w:val="20"/>
              </w:rPr>
            </w:pPr>
            <w:r w:rsidRPr="00E768D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11" w:type="dxa"/>
            <w:vAlign w:val="center"/>
          </w:tcPr>
          <w:p w:rsidR="00D10A33" w:rsidRPr="00E768D7" w:rsidRDefault="00D10A33" w:rsidP="002E4015">
            <w:pPr>
              <w:jc w:val="center"/>
              <w:rPr>
                <w:b/>
                <w:sz w:val="20"/>
                <w:szCs w:val="20"/>
              </w:rPr>
            </w:pPr>
            <w:r w:rsidRPr="00E768D7">
              <w:rPr>
                <w:b/>
                <w:sz w:val="20"/>
                <w:szCs w:val="20"/>
              </w:rPr>
              <w:t>4</w:t>
            </w:r>
          </w:p>
        </w:tc>
      </w:tr>
      <w:tr w:rsidR="00A411FB" w:rsidTr="004014E6">
        <w:trPr>
          <w:trHeight w:val="1008"/>
        </w:trPr>
        <w:tc>
          <w:tcPr>
            <w:tcW w:w="7116" w:type="dxa"/>
            <w:vAlign w:val="center"/>
          </w:tcPr>
          <w:p w:rsidR="00D10A33" w:rsidRPr="002E4015" w:rsidRDefault="00D10A33" w:rsidP="002E4015">
            <w:pPr>
              <w:tabs>
                <w:tab w:val="num" w:pos="720"/>
              </w:tabs>
              <w:rPr>
                <w:sz w:val="20"/>
                <w:szCs w:val="20"/>
              </w:rPr>
            </w:pPr>
            <w:r w:rsidRPr="002E4015">
              <w:rPr>
                <w:sz w:val="20"/>
                <w:szCs w:val="20"/>
              </w:rPr>
              <w:t>Work with individuals of other professions to maintain a climate of mutual respect and shared values. (IPEC®, 2011)</w:t>
            </w:r>
          </w:p>
        </w:tc>
        <w:tc>
          <w:tcPr>
            <w:tcW w:w="910" w:type="dxa"/>
            <w:shd w:val="clear" w:color="auto" w:fill="D9D9D9" w:themeFill="background1" w:themeFillShade="D9"/>
            <w:vAlign w:val="center"/>
          </w:tcPr>
          <w:p w:rsidR="00D10A33" w:rsidRPr="00E768D7" w:rsidRDefault="00D10A33" w:rsidP="002E4015">
            <w:pPr>
              <w:jc w:val="center"/>
              <w:rPr>
                <w:b/>
                <w:sz w:val="20"/>
                <w:szCs w:val="20"/>
              </w:rPr>
            </w:pPr>
            <w:r w:rsidRPr="00E768D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:rsidR="00D10A33" w:rsidRPr="00E768D7" w:rsidRDefault="00D10A33" w:rsidP="002E4015">
            <w:pPr>
              <w:jc w:val="center"/>
              <w:rPr>
                <w:b/>
                <w:sz w:val="20"/>
                <w:szCs w:val="20"/>
              </w:rPr>
            </w:pPr>
            <w:r w:rsidRPr="00E768D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0" w:type="dxa"/>
            <w:shd w:val="clear" w:color="auto" w:fill="D9D9D9" w:themeFill="background1" w:themeFillShade="D9"/>
            <w:vAlign w:val="center"/>
          </w:tcPr>
          <w:p w:rsidR="00D10A33" w:rsidRPr="00E768D7" w:rsidRDefault="00D10A33" w:rsidP="002E4015">
            <w:pPr>
              <w:jc w:val="center"/>
              <w:rPr>
                <w:b/>
                <w:sz w:val="20"/>
                <w:szCs w:val="20"/>
              </w:rPr>
            </w:pPr>
            <w:r w:rsidRPr="00E768D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1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10A33" w:rsidRPr="00E768D7" w:rsidRDefault="00D10A33" w:rsidP="002E4015">
            <w:pPr>
              <w:jc w:val="center"/>
              <w:rPr>
                <w:b/>
                <w:sz w:val="20"/>
                <w:szCs w:val="20"/>
              </w:rPr>
            </w:pPr>
            <w:r w:rsidRPr="00E768D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10" w:type="dxa"/>
            <w:tcBorders>
              <w:left w:val="single" w:sz="12" w:space="0" w:color="auto"/>
            </w:tcBorders>
            <w:vAlign w:val="center"/>
          </w:tcPr>
          <w:p w:rsidR="00D10A33" w:rsidRPr="00E768D7" w:rsidRDefault="00D10A33" w:rsidP="002E4015">
            <w:pPr>
              <w:jc w:val="center"/>
              <w:rPr>
                <w:b/>
                <w:sz w:val="20"/>
                <w:szCs w:val="20"/>
              </w:rPr>
            </w:pPr>
            <w:r w:rsidRPr="00E768D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11" w:type="dxa"/>
            <w:vAlign w:val="center"/>
          </w:tcPr>
          <w:p w:rsidR="00D10A33" w:rsidRPr="00E768D7" w:rsidRDefault="00D10A33" w:rsidP="002E4015">
            <w:pPr>
              <w:jc w:val="center"/>
              <w:rPr>
                <w:b/>
                <w:sz w:val="20"/>
                <w:szCs w:val="20"/>
              </w:rPr>
            </w:pPr>
            <w:r w:rsidRPr="00E768D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0" w:type="dxa"/>
            <w:vAlign w:val="center"/>
          </w:tcPr>
          <w:p w:rsidR="00D10A33" w:rsidRPr="00E768D7" w:rsidRDefault="00D10A33" w:rsidP="002E4015">
            <w:pPr>
              <w:jc w:val="center"/>
              <w:rPr>
                <w:b/>
                <w:sz w:val="20"/>
                <w:szCs w:val="20"/>
              </w:rPr>
            </w:pPr>
            <w:r w:rsidRPr="00E768D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11" w:type="dxa"/>
            <w:vAlign w:val="center"/>
          </w:tcPr>
          <w:p w:rsidR="00D10A33" w:rsidRPr="00E768D7" w:rsidRDefault="00D10A33" w:rsidP="002E4015">
            <w:pPr>
              <w:jc w:val="center"/>
              <w:rPr>
                <w:b/>
                <w:sz w:val="20"/>
                <w:szCs w:val="20"/>
              </w:rPr>
            </w:pPr>
            <w:r w:rsidRPr="00E768D7">
              <w:rPr>
                <w:b/>
                <w:sz w:val="20"/>
                <w:szCs w:val="20"/>
              </w:rPr>
              <w:t>4</w:t>
            </w:r>
          </w:p>
        </w:tc>
      </w:tr>
      <w:tr w:rsidR="00A411FB" w:rsidTr="004014E6">
        <w:trPr>
          <w:trHeight w:val="1008"/>
        </w:trPr>
        <w:tc>
          <w:tcPr>
            <w:tcW w:w="7116" w:type="dxa"/>
            <w:vAlign w:val="center"/>
          </w:tcPr>
          <w:p w:rsidR="00D10A33" w:rsidRPr="002E4015" w:rsidRDefault="00D10A33" w:rsidP="002E4015">
            <w:pPr>
              <w:tabs>
                <w:tab w:val="num" w:pos="720"/>
              </w:tabs>
              <w:rPr>
                <w:sz w:val="20"/>
                <w:szCs w:val="20"/>
              </w:rPr>
            </w:pPr>
            <w:r w:rsidRPr="002E4015">
              <w:rPr>
                <w:sz w:val="20"/>
                <w:szCs w:val="20"/>
              </w:rPr>
              <w:t>Use the knowledge of one’s own role and the roles of other professions to appropriately assess and address the health care needs of the patients and populations served. (IPEC®, 2011)</w:t>
            </w:r>
          </w:p>
        </w:tc>
        <w:tc>
          <w:tcPr>
            <w:tcW w:w="910" w:type="dxa"/>
            <w:shd w:val="clear" w:color="auto" w:fill="D9D9D9" w:themeFill="background1" w:themeFillShade="D9"/>
            <w:vAlign w:val="center"/>
          </w:tcPr>
          <w:p w:rsidR="00D10A33" w:rsidRPr="00E768D7" w:rsidRDefault="00D10A33" w:rsidP="002E4015">
            <w:pPr>
              <w:jc w:val="center"/>
              <w:rPr>
                <w:b/>
                <w:sz w:val="20"/>
                <w:szCs w:val="20"/>
              </w:rPr>
            </w:pPr>
            <w:r w:rsidRPr="00E768D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:rsidR="00D10A33" w:rsidRPr="00E768D7" w:rsidRDefault="00D10A33" w:rsidP="002E4015">
            <w:pPr>
              <w:jc w:val="center"/>
              <w:rPr>
                <w:b/>
                <w:sz w:val="20"/>
                <w:szCs w:val="20"/>
              </w:rPr>
            </w:pPr>
            <w:r w:rsidRPr="00E768D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0" w:type="dxa"/>
            <w:shd w:val="clear" w:color="auto" w:fill="D9D9D9" w:themeFill="background1" w:themeFillShade="D9"/>
            <w:vAlign w:val="center"/>
          </w:tcPr>
          <w:p w:rsidR="00D10A33" w:rsidRPr="00E768D7" w:rsidRDefault="00D10A33" w:rsidP="002E4015">
            <w:pPr>
              <w:jc w:val="center"/>
              <w:rPr>
                <w:b/>
                <w:sz w:val="20"/>
                <w:szCs w:val="20"/>
              </w:rPr>
            </w:pPr>
            <w:r w:rsidRPr="00E768D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1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10A33" w:rsidRPr="00E768D7" w:rsidRDefault="00D10A33" w:rsidP="002E4015">
            <w:pPr>
              <w:jc w:val="center"/>
              <w:rPr>
                <w:b/>
                <w:sz w:val="20"/>
                <w:szCs w:val="20"/>
              </w:rPr>
            </w:pPr>
            <w:r w:rsidRPr="00E768D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10" w:type="dxa"/>
            <w:tcBorders>
              <w:left w:val="single" w:sz="12" w:space="0" w:color="auto"/>
            </w:tcBorders>
            <w:vAlign w:val="center"/>
          </w:tcPr>
          <w:p w:rsidR="00D10A33" w:rsidRPr="00E768D7" w:rsidRDefault="00D10A33" w:rsidP="002E4015">
            <w:pPr>
              <w:jc w:val="center"/>
              <w:rPr>
                <w:b/>
                <w:sz w:val="20"/>
                <w:szCs w:val="20"/>
              </w:rPr>
            </w:pPr>
            <w:r w:rsidRPr="00E768D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11" w:type="dxa"/>
            <w:vAlign w:val="center"/>
          </w:tcPr>
          <w:p w:rsidR="00D10A33" w:rsidRPr="00E768D7" w:rsidRDefault="00D10A33" w:rsidP="002E4015">
            <w:pPr>
              <w:jc w:val="center"/>
              <w:rPr>
                <w:b/>
                <w:sz w:val="20"/>
                <w:szCs w:val="20"/>
              </w:rPr>
            </w:pPr>
            <w:r w:rsidRPr="00E768D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0" w:type="dxa"/>
            <w:vAlign w:val="center"/>
          </w:tcPr>
          <w:p w:rsidR="00D10A33" w:rsidRPr="00E768D7" w:rsidRDefault="00D10A33" w:rsidP="002E4015">
            <w:pPr>
              <w:jc w:val="center"/>
              <w:rPr>
                <w:b/>
                <w:sz w:val="20"/>
                <w:szCs w:val="20"/>
              </w:rPr>
            </w:pPr>
            <w:r w:rsidRPr="00E768D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11" w:type="dxa"/>
            <w:vAlign w:val="center"/>
          </w:tcPr>
          <w:p w:rsidR="00D10A33" w:rsidRPr="00E768D7" w:rsidRDefault="00D10A33" w:rsidP="002E4015">
            <w:pPr>
              <w:jc w:val="center"/>
              <w:rPr>
                <w:b/>
                <w:sz w:val="20"/>
                <w:szCs w:val="20"/>
              </w:rPr>
            </w:pPr>
            <w:r w:rsidRPr="00E768D7">
              <w:rPr>
                <w:b/>
                <w:sz w:val="20"/>
                <w:szCs w:val="20"/>
              </w:rPr>
              <w:t>4</w:t>
            </w:r>
          </w:p>
        </w:tc>
      </w:tr>
      <w:tr w:rsidR="00A411FB" w:rsidTr="004014E6">
        <w:trPr>
          <w:trHeight w:val="1008"/>
        </w:trPr>
        <w:tc>
          <w:tcPr>
            <w:tcW w:w="7116" w:type="dxa"/>
            <w:vAlign w:val="center"/>
          </w:tcPr>
          <w:p w:rsidR="00D10A33" w:rsidRPr="002E4015" w:rsidRDefault="00D10A33" w:rsidP="002E4015">
            <w:pPr>
              <w:tabs>
                <w:tab w:val="num" w:pos="720"/>
              </w:tabs>
              <w:rPr>
                <w:sz w:val="20"/>
                <w:szCs w:val="20"/>
              </w:rPr>
            </w:pPr>
            <w:r w:rsidRPr="002E4015">
              <w:rPr>
                <w:sz w:val="20"/>
                <w:szCs w:val="20"/>
              </w:rPr>
              <w:t>Communicate with patients, families, communities, and other health professionals in a responsive and responsible manner that supports a team approach to maintaining health and treatment of disease. (IPEC®, 2011)</w:t>
            </w:r>
          </w:p>
        </w:tc>
        <w:tc>
          <w:tcPr>
            <w:tcW w:w="910" w:type="dxa"/>
            <w:shd w:val="clear" w:color="auto" w:fill="D9D9D9" w:themeFill="background1" w:themeFillShade="D9"/>
            <w:vAlign w:val="center"/>
          </w:tcPr>
          <w:p w:rsidR="00D10A33" w:rsidRPr="00E768D7" w:rsidRDefault="00D10A33" w:rsidP="002E4015">
            <w:pPr>
              <w:jc w:val="center"/>
              <w:rPr>
                <w:b/>
                <w:sz w:val="20"/>
                <w:szCs w:val="20"/>
              </w:rPr>
            </w:pPr>
            <w:r w:rsidRPr="00E768D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:rsidR="00D10A33" w:rsidRPr="00E768D7" w:rsidRDefault="00D10A33" w:rsidP="002E4015">
            <w:pPr>
              <w:jc w:val="center"/>
              <w:rPr>
                <w:b/>
                <w:sz w:val="20"/>
                <w:szCs w:val="20"/>
              </w:rPr>
            </w:pPr>
            <w:r w:rsidRPr="00E768D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0" w:type="dxa"/>
            <w:shd w:val="clear" w:color="auto" w:fill="D9D9D9" w:themeFill="background1" w:themeFillShade="D9"/>
            <w:vAlign w:val="center"/>
          </w:tcPr>
          <w:p w:rsidR="00D10A33" w:rsidRPr="00E768D7" w:rsidRDefault="00D10A33" w:rsidP="002E4015">
            <w:pPr>
              <w:jc w:val="center"/>
              <w:rPr>
                <w:b/>
                <w:sz w:val="20"/>
                <w:szCs w:val="20"/>
              </w:rPr>
            </w:pPr>
            <w:r w:rsidRPr="00E768D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1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10A33" w:rsidRPr="00E768D7" w:rsidRDefault="00D10A33" w:rsidP="002E4015">
            <w:pPr>
              <w:jc w:val="center"/>
              <w:rPr>
                <w:b/>
                <w:sz w:val="20"/>
                <w:szCs w:val="20"/>
              </w:rPr>
            </w:pPr>
            <w:r w:rsidRPr="00E768D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10" w:type="dxa"/>
            <w:tcBorders>
              <w:left w:val="single" w:sz="12" w:space="0" w:color="auto"/>
            </w:tcBorders>
            <w:vAlign w:val="center"/>
          </w:tcPr>
          <w:p w:rsidR="00D10A33" w:rsidRPr="00E768D7" w:rsidRDefault="00D10A33" w:rsidP="002E4015">
            <w:pPr>
              <w:jc w:val="center"/>
              <w:rPr>
                <w:b/>
                <w:sz w:val="20"/>
                <w:szCs w:val="20"/>
              </w:rPr>
            </w:pPr>
            <w:r w:rsidRPr="00E768D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11" w:type="dxa"/>
            <w:vAlign w:val="center"/>
          </w:tcPr>
          <w:p w:rsidR="00D10A33" w:rsidRPr="00E768D7" w:rsidRDefault="00D10A33" w:rsidP="002E4015">
            <w:pPr>
              <w:jc w:val="center"/>
              <w:rPr>
                <w:b/>
                <w:sz w:val="20"/>
                <w:szCs w:val="20"/>
              </w:rPr>
            </w:pPr>
            <w:r w:rsidRPr="00E768D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0" w:type="dxa"/>
            <w:vAlign w:val="center"/>
          </w:tcPr>
          <w:p w:rsidR="00D10A33" w:rsidRPr="00E768D7" w:rsidRDefault="00D10A33" w:rsidP="002E4015">
            <w:pPr>
              <w:jc w:val="center"/>
              <w:rPr>
                <w:b/>
                <w:sz w:val="20"/>
                <w:szCs w:val="20"/>
              </w:rPr>
            </w:pPr>
            <w:r w:rsidRPr="00E768D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11" w:type="dxa"/>
            <w:vAlign w:val="center"/>
          </w:tcPr>
          <w:p w:rsidR="00D10A33" w:rsidRPr="00E768D7" w:rsidRDefault="00D10A33" w:rsidP="002E4015">
            <w:pPr>
              <w:jc w:val="center"/>
              <w:rPr>
                <w:b/>
                <w:sz w:val="20"/>
                <w:szCs w:val="20"/>
              </w:rPr>
            </w:pPr>
            <w:r w:rsidRPr="00E768D7">
              <w:rPr>
                <w:b/>
                <w:sz w:val="20"/>
                <w:szCs w:val="20"/>
              </w:rPr>
              <w:t>4</w:t>
            </w:r>
          </w:p>
        </w:tc>
      </w:tr>
      <w:tr w:rsidR="00A411FB" w:rsidTr="004014E6">
        <w:trPr>
          <w:trHeight w:val="1008"/>
        </w:trPr>
        <w:tc>
          <w:tcPr>
            <w:tcW w:w="7116" w:type="dxa"/>
            <w:vAlign w:val="center"/>
          </w:tcPr>
          <w:p w:rsidR="00D10A33" w:rsidRPr="002E4015" w:rsidRDefault="00D10A33" w:rsidP="002E4015">
            <w:pPr>
              <w:tabs>
                <w:tab w:val="num" w:pos="720"/>
              </w:tabs>
              <w:rPr>
                <w:sz w:val="20"/>
                <w:szCs w:val="20"/>
              </w:rPr>
            </w:pPr>
            <w:r w:rsidRPr="002E4015">
              <w:rPr>
                <w:sz w:val="20"/>
                <w:szCs w:val="20"/>
              </w:rPr>
              <w:t>Apply relationship-building values and the principles of team dynamics to perform effectively in different team roles to plan and deliver patient/population-centered care that is safe, timely, efficient, effective, and equitable. (IPEC®, 2011)</w:t>
            </w:r>
          </w:p>
        </w:tc>
        <w:tc>
          <w:tcPr>
            <w:tcW w:w="910" w:type="dxa"/>
            <w:shd w:val="clear" w:color="auto" w:fill="D9D9D9" w:themeFill="background1" w:themeFillShade="D9"/>
            <w:vAlign w:val="center"/>
          </w:tcPr>
          <w:p w:rsidR="00D10A33" w:rsidRPr="00E768D7" w:rsidRDefault="00D10A33" w:rsidP="002E4015">
            <w:pPr>
              <w:jc w:val="center"/>
              <w:rPr>
                <w:b/>
                <w:sz w:val="20"/>
                <w:szCs w:val="20"/>
              </w:rPr>
            </w:pPr>
            <w:r w:rsidRPr="00E768D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:rsidR="00D10A33" w:rsidRPr="00E768D7" w:rsidRDefault="00D10A33" w:rsidP="002E4015">
            <w:pPr>
              <w:jc w:val="center"/>
              <w:rPr>
                <w:b/>
                <w:sz w:val="20"/>
                <w:szCs w:val="20"/>
              </w:rPr>
            </w:pPr>
            <w:r w:rsidRPr="00E768D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0" w:type="dxa"/>
            <w:shd w:val="clear" w:color="auto" w:fill="D9D9D9" w:themeFill="background1" w:themeFillShade="D9"/>
            <w:vAlign w:val="center"/>
          </w:tcPr>
          <w:p w:rsidR="00D10A33" w:rsidRPr="00E768D7" w:rsidRDefault="00D10A33" w:rsidP="002E4015">
            <w:pPr>
              <w:jc w:val="center"/>
              <w:rPr>
                <w:b/>
                <w:sz w:val="20"/>
                <w:szCs w:val="20"/>
              </w:rPr>
            </w:pPr>
            <w:r w:rsidRPr="00E768D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1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10A33" w:rsidRPr="00E768D7" w:rsidRDefault="00D10A33" w:rsidP="002E4015">
            <w:pPr>
              <w:jc w:val="center"/>
              <w:rPr>
                <w:b/>
                <w:sz w:val="20"/>
                <w:szCs w:val="20"/>
              </w:rPr>
            </w:pPr>
            <w:r w:rsidRPr="00E768D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10" w:type="dxa"/>
            <w:tcBorders>
              <w:left w:val="single" w:sz="12" w:space="0" w:color="auto"/>
            </w:tcBorders>
            <w:vAlign w:val="center"/>
          </w:tcPr>
          <w:p w:rsidR="00D10A33" w:rsidRPr="00E768D7" w:rsidRDefault="00D10A33" w:rsidP="002E4015">
            <w:pPr>
              <w:jc w:val="center"/>
              <w:rPr>
                <w:b/>
                <w:sz w:val="20"/>
                <w:szCs w:val="20"/>
              </w:rPr>
            </w:pPr>
            <w:r w:rsidRPr="00E768D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11" w:type="dxa"/>
            <w:vAlign w:val="center"/>
          </w:tcPr>
          <w:p w:rsidR="00D10A33" w:rsidRPr="00E768D7" w:rsidRDefault="00D10A33" w:rsidP="002E4015">
            <w:pPr>
              <w:jc w:val="center"/>
              <w:rPr>
                <w:b/>
                <w:sz w:val="20"/>
                <w:szCs w:val="20"/>
              </w:rPr>
            </w:pPr>
            <w:r w:rsidRPr="00E768D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0" w:type="dxa"/>
            <w:vAlign w:val="center"/>
          </w:tcPr>
          <w:p w:rsidR="00D10A33" w:rsidRPr="00E768D7" w:rsidRDefault="00D10A33" w:rsidP="002E4015">
            <w:pPr>
              <w:jc w:val="center"/>
              <w:rPr>
                <w:b/>
                <w:sz w:val="20"/>
                <w:szCs w:val="20"/>
              </w:rPr>
            </w:pPr>
            <w:r w:rsidRPr="00E768D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11" w:type="dxa"/>
            <w:vAlign w:val="center"/>
          </w:tcPr>
          <w:p w:rsidR="00D10A33" w:rsidRPr="00E768D7" w:rsidRDefault="00D10A33" w:rsidP="002E4015">
            <w:pPr>
              <w:jc w:val="center"/>
              <w:rPr>
                <w:b/>
                <w:sz w:val="20"/>
                <w:szCs w:val="20"/>
              </w:rPr>
            </w:pPr>
            <w:r w:rsidRPr="00E768D7">
              <w:rPr>
                <w:b/>
                <w:sz w:val="20"/>
                <w:szCs w:val="20"/>
              </w:rPr>
              <w:t>4</w:t>
            </w:r>
          </w:p>
        </w:tc>
      </w:tr>
    </w:tbl>
    <w:p w:rsidR="00432B9F" w:rsidRPr="000B6FD5" w:rsidRDefault="000B6FD5" w:rsidP="000B6FD5">
      <w:pPr>
        <w:spacing w:before="120" w:after="0" w:line="240" w:lineRule="auto"/>
        <w:jc w:val="right"/>
        <w:rPr>
          <w:b/>
        </w:rPr>
      </w:pPr>
      <w:r w:rsidRPr="000B6FD5">
        <w:rPr>
          <w:b/>
          <w:highlight w:val="yellow"/>
        </w:rPr>
        <w:t xml:space="preserve">NEXT PAGE </w:t>
      </w:r>
      <w:r w:rsidRPr="000B6FD5">
        <w:rPr>
          <w:b/>
          <w:highlight w:val="yellow"/>
        </w:rPr>
        <w:sym w:font="Wingdings" w:char="F0E0"/>
      </w:r>
    </w:p>
    <w:p w:rsidR="00432B9F" w:rsidRPr="00D26FBB" w:rsidRDefault="00432B9F" w:rsidP="00811076">
      <w:pPr>
        <w:spacing w:after="0" w:line="240" w:lineRule="auto"/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1436AA" w:rsidTr="001436AA">
        <w:trPr>
          <w:trHeight w:val="432"/>
        </w:trPr>
        <w:tc>
          <w:tcPr>
            <w:tcW w:w="14390" w:type="dxa"/>
            <w:shd w:val="clear" w:color="auto" w:fill="D9D9D9" w:themeFill="background1" w:themeFillShade="D9"/>
            <w:vAlign w:val="center"/>
          </w:tcPr>
          <w:p w:rsidR="001436AA" w:rsidRPr="001436AA" w:rsidRDefault="001436AA" w:rsidP="001436AA">
            <w:pPr>
              <w:rPr>
                <w:b/>
              </w:rPr>
            </w:pPr>
            <w:r w:rsidRPr="001436AA">
              <w:rPr>
                <w:b/>
              </w:rPr>
              <w:t xml:space="preserve">How did the Interprofessional Education experience afford you the opportunity to learn </w:t>
            </w:r>
            <w:r w:rsidR="00D874CA" w:rsidRPr="00D874CA">
              <w:rPr>
                <w:b/>
                <w:i/>
                <w:highlight w:val="yellow"/>
              </w:rPr>
              <w:t>WITH</w:t>
            </w:r>
            <w:r w:rsidRPr="001436AA">
              <w:rPr>
                <w:b/>
              </w:rPr>
              <w:t xml:space="preserve"> other professionals?</w:t>
            </w:r>
          </w:p>
        </w:tc>
      </w:tr>
      <w:tr w:rsidR="001436AA" w:rsidTr="00D26FBB">
        <w:trPr>
          <w:trHeight w:val="1152"/>
        </w:trPr>
        <w:tc>
          <w:tcPr>
            <w:tcW w:w="14390" w:type="dxa"/>
            <w:vAlign w:val="center"/>
          </w:tcPr>
          <w:p w:rsidR="001436AA" w:rsidRDefault="001436AA" w:rsidP="001436AA"/>
        </w:tc>
      </w:tr>
      <w:tr w:rsidR="001436AA" w:rsidTr="001436AA">
        <w:trPr>
          <w:trHeight w:val="432"/>
        </w:trPr>
        <w:tc>
          <w:tcPr>
            <w:tcW w:w="14390" w:type="dxa"/>
            <w:shd w:val="clear" w:color="auto" w:fill="D9D9D9" w:themeFill="background1" w:themeFillShade="D9"/>
            <w:vAlign w:val="center"/>
          </w:tcPr>
          <w:p w:rsidR="001436AA" w:rsidRPr="001436AA" w:rsidRDefault="001436AA" w:rsidP="001436AA">
            <w:pPr>
              <w:rPr>
                <w:b/>
              </w:rPr>
            </w:pPr>
            <w:r w:rsidRPr="001436AA">
              <w:rPr>
                <w:b/>
              </w:rPr>
              <w:t xml:space="preserve">Please list one example of how this Interprofessional Education event allowed you the opportunity to learn </w:t>
            </w:r>
            <w:r w:rsidR="00D874CA" w:rsidRPr="00D874CA">
              <w:rPr>
                <w:b/>
                <w:i/>
                <w:highlight w:val="yellow"/>
              </w:rPr>
              <w:t>FROM</w:t>
            </w:r>
            <w:r w:rsidRPr="001436AA">
              <w:rPr>
                <w:b/>
              </w:rPr>
              <w:t xml:space="preserve"> other professions?</w:t>
            </w:r>
          </w:p>
        </w:tc>
      </w:tr>
      <w:tr w:rsidR="001436AA" w:rsidTr="00D26FBB">
        <w:trPr>
          <w:trHeight w:val="1152"/>
        </w:trPr>
        <w:tc>
          <w:tcPr>
            <w:tcW w:w="14390" w:type="dxa"/>
            <w:vAlign w:val="center"/>
          </w:tcPr>
          <w:p w:rsidR="001436AA" w:rsidRDefault="001436AA" w:rsidP="001436AA"/>
        </w:tc>
      </w:tr>
      <w:tr w:rsidR="001436AA" w:rsidTr="001436AA">
        <w:trPr>
          <w:trHeight w:val="432"/>
        </w:trPr>
        <w:tc>
          <w:tcPr>
            <w:tcW w:w="14390" w:type="dxa"/>
            <w:shd w:val="clear" w:color="auto" w:fill="D9D9D9" w:themeFill="background1" w:themeFillShade="D9"/>
            <w:vAlign w:val="center"/>
          </w:tcPr>
          <w:p w:rsidR="001436AA" w:rsidRPr="001436AA" w:rsidRDefault="001436AA" w:rsidP="001436AA">
            <w:pPr>
              <w:rPr>
                <w:b/>
              </w:rPr>
            </w:pPr>
            <w:r w:rsidRPr="001436AA">
              <w:rPr>
                <w:b/>
              </w:rPr>
              <w:t xml:space="preserve">Give an example of one thing you learned </w:t>
            </w:r>
            <w:r w:rsidR="00426EB2" w:rsidRPr="00426EB2">
              <w:rPr>
                <w:b/>
                <w:i/>
                <w:highlight w:val="yellow"/>
              </w:rPr>
              <w:t xml:space="preserve">ABOUT </w:t>
            </w:r>
            <w:r w:rsidRPr="001436AA">
              <w:rPr>
                <w:b/>
              </w:rPr>
              <w:t>other professions?</w:t>
            </w:r>
          </w:p>
        </w:tc>
      </w:tr>
      <w:tr w:rsidR="001436AA" w:rsidTr="00D26FBB">
        <w:trPr>
          <w:trHeight w:val="1152"/>
        </w:trPr>
        <w:tc>
          <w:tcPr>
            <w:tcW w:w="14390" w:type="dxa"/>
            <w:vAlign w:val="center"/>
          </w:tcPr>
          <w:p w:rsidR="001436AA" w:rsidRDefault="001436AA" w:rsidP="001436AA">
            <w:bookmarkStart w:id="0" w:name="_GoBack"/>
            <w:bookmarkEnd w:id="0"/>
          </w:p>
        </w:tc>
      </w:tr>
      <w:tr w:rsidR="001436AA" w:rsidTr="001436AA">
        <w:trPr>
          <w:trHeight w:val="432"/>
        </w:trPr>
        <w:tc>
          <w:tcPr>
            <w:tcW w:w="14390" w:type="dxa"/>
            <w:shd w:val="clear" w:color="auto" w:fill="D9D9D9" w:themeFill="background1" w:themeFillShade="D9"/>
            <w:vAlign w:val="center"/>
          </w:tcPr>
          <w:p w:rsidR="001436AA" w:rsidRPr="001436AA" w:rsidRDefault="001436AA" w:rsidP="001436AA">
            <w:pPr>
              <w:rPr>
                <w:b/>
              </w:rPr>
            </w:pPr>
            <w:r w:rsidRPr="001436AA">
              <w:rPr>
                <w:b/>
              </w:rPr>
              <w:t>What worked well during this Interprofessional Education event?</w:t>
            </w:r>
          </w:p>
        </w:tc>
      </w:tr>
      <w:tr w:rsidR="001436AA" w:rsidTr="00D26FBB">
        <w:trPr>
          <w:trHeight w:val="1152"/>
        </w:trPr>
        <w:tc>
          <w:tcPr>
            <w:tcW w:w="14390" w:type="dxa"/>
            <w:vAlign w:val="center"/>
          </w:tcPr>
          <w:p w:rsidR="001436AA" w:rsidRDefault="001436AA" w:rsidP="001436AA"/>
        </w:tc>
      </w:tr>
      <w:tr w:rsidR="001436AA" w:rsidTr="001436AA">
        <w:trPr>
          <w:trHeight w:val="432"/>
        </w:trPr>
        <w:tc>
          <w:tcPr>
            <w:tcW w:w="14390" w:type="dxa"/>
            <w:shd w:val="clear" w:color="auto" w:fill="D9D9D9" w:themeFill="background1" w:themeFillShade="D9"/>
            <w:vAlign w:val="center"/>
          </w:tcPr>
          <w:p w:rsidR="001436AA" w:rsidRPr="001436AA" w:rsidRDefault="001436AA" w:rsidP="001436AA">
            <w:pPr>
              <w:rPr>
                <w:b/>
              </w:rPr>
            </w:pPr>
            <w:r w:rsidRPr="001436AA">
              <w:rPr>
                <w:b/>
              </w:rPr>
              <w:t>What would you suggest in regard to changes for future Interprofessional Education Learning experiences?</w:t>
            </w:r>
          </w:p>
        </w:tc>
      </w:tr>
      <w:tr w:rsidR="001436AA" w:rsidTr="00D26FBB">
        <w:trPr>
          <w:trHeight w:val="1152"/>
        </w:trPr>
        <w:tc>
          <w:tcPr>
            <w:tcW w:w="14390" w:type="dxa"/>
            <w:vAlign w:val="center"/>
          </w:tcPr>
          <w:p w:rsidR="001436AA" w:rsidRDefault="001436AA" w:rsidP="001436AA"/>
        </w:tc>
      </w:tr>
    </w:tbl>
    <w:p w:rsidR="00D10A33" w:rsidRDefault="003F033E" w:rsidP="00D26FBB">
      <w:pPr>
        <w:spacing w:before="120" w:after="0" w:line="240" w:lineRule="auto"/>
        <w:jc w:val="right"/>
      </w:pPr>
      <w:r>
        <w:rPr>
          <w:b/>
          <w:highlight w:val="yellow"/>
        </w:rPr>
        <w:t>THANK YOU!</w:t>
      </w:r>
    </w:p>
    <w:sectPr w:rsidR="00D10A33" w:rsidSect="002E4015">
      <w:headerReference w:type="default" r:id="rId7"/>
      <w:footerReference w:type="default" r:id="rId8"/>
      <w:pgSz w:w="15840" w:h="12240" w:orient="landscape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EDB" w:rsidRDefault="00060EDB" w:rsidP="00770140">
      <w:pPr>
        <w:spacing w:after="0" w:line="240" w:lineRule="auto"/>
      </w:pPr>
      <w:r>
        <w:separator/>
      </w:r>
    </w:p>
  </w:endnote>
  <w:endnote w:type="continuationSeparator" w:id="0">
    <w:p w:rsidR="00060EDB" w:rsidRDefault="00060EDB" w:rsidP="00770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4400" w:type="dxa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620"/>
      <w:gridCol w:w="12780"/>
    </w:tblGrid>
    <w:tr w:rsidR="00B61124" w:rsidRPr="002E4015" w:rsidTr="00A411FB">
      <w:trPr>
        <w:trHeight w:val="576"/>
      </w:trPr>
      <w:tc>
        <w:tcPr>
          <w:tcW w:w="1620" w:type="dxa"/>
          <w:tcBorders>
            <w:top w:val="single" w:sz="4" w:space="0" w:color="auto"/>
          </w:tcBorders>
          <w:vAlign w:val="center"/>
        </w:tcPr>
        <w:p w:rsidR="00B61124" w:rsidRPr="002E4015" w:rsidRDefault="00B61124" w:rsidP="00B61124">
          <w:pPr>
            <w:pStyle w:val="Footer"/>
            <w:jc w:val="center"/>
          </w:pPr>
          <w:r w:rsidRPr="002E4015">
            <w:rPr>
              <w:rFonts w:cs="Arial"/>
              <w:noProof/>
              <w:color w:val="0000FF"/>
            </w:rPr>
            <w:drawing>
              <wp:inline distT="0" distB="0" distL="0" distR="0" wp14:anchorId="0FE93122" wp14:editId="000E9829">
                <wp:extent cx="841375" cy="292735"/>
                <wp:effectExtent l="0" t="0" r="0" b="0"/>
                <wp:docPr id="6" name="Picture 1" descr="Creative Commons License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reative Commons License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137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61124" w:rsidRPr="002E4015" w:rsidRDefault="00B61124" w:rsidP="00B61124">
          <w:pPr>
            <w:pStyle w:val="Footer"/>
            <w:jc w:val="center"/>
          </w:pPr>
        </w:p>
        <w:p w:rsidR="00B61124" w:rsidRPr="002E4015" w:rsidRDefault="00B61124" w:rsidP="00B61124">
          <w:pPr>
            <w:pStyle w:val="Footer"/>
            <w:jc w:val="center"/>
          </w:pPr>
          <w:r w:rsidRPr="002E4015">
            <w:t xml:space="preserve">Page </w:t>
          </w:r>
          <w:r w:rsidRPr="002E4015">
            <w:fldChar w:fldCharType="begin"/>
          </w:r>
          <w:r w:rsidRPr="002E4015">
            <w:instrText xml:space="preserve"> PAGE   \* MERGEFORMAT </w:instrText>
          </w:r>
          <w:r w:rsidRPr="002E4015">
            <w:fldChar w:fldCharType="separate"/>
          </w:r>
          <w:r w:rsidR="00426EB2">
            <w:rPr>
              <w:noProof/>
            </w:rPr>
            <w:t>2</w:t>
          </w:r>
          <w:r w:rsidRPr="002E4015">
            <w:rPr>
              <w:noProof/>
            </w:rPr>
            <w:fldChar w:fldCharType="end"/>
          </w:r>
          <w:r w:rsidRPr="002E4015">
            <w:rPr>
              <w:noProof/>
            </w:rPr>
            <w:t xml:space="preserve"> of </w:t>
          </w:r>
          <w:r w:rsidRPr="002E4015">
            <w:rPr>
              <w:noProof/>
            </w:rPr>
            <w:fldChar w:fldCharType="begin"/>
          </w:r>
          <w:r w:rsidRPr="002E4015">
            <w:rPr>
              <w:noProof/>
            </w:rPr>
            <w:instrText xml:space="preserve"> NUMPAGES   \* MERGEFORMAT </w:instrText>
          </w:r>
          <w:r w:rsidRPr="002E4015">
            <w:rPr>
              <w:noProof/>
            </w:rPr>
            <w:fldChar w:fldCharType="separate"/>
          </w:r>
          <w:r w:rsidR="00426EB2">
            <w:rPr>
              <w:noProof/>
            </w:rPr>
            <w:t>2</w:t>
          </w:r>
          <w:r w:rsidRPr="002E4015">
            <w:rPr>
              <w:noProof/>
            </w:rPr>
            <w:fldChar w:fldCharType="end"/>
          </w:r>
        </w:p>
      </w:tc>
      <w:tc>
        <w:tcPr>
          <w:tcW w:w="12780" w:type="dxa"/>
          <w:tcBorders>
            <w:top w:val="single" w:sz="4" w:space="0" w:color="auto"/>
          </w:tcBorders>
          <w:vAlign w:val="center"/>
        </w:tcPr>
        <w:p w:rsidR="00B61124" w:rsidRPr="00A411FB" w:rsidRDefault="00B61124" w:rsidP="00B61124">
          <w:pPr>
            <w:rPr>
              <w:rFonts w:cs="Tahoma"/>
              <w:sz w:val="20"/>
              <w:szCs w:val="20"/>
            </w:rPr>
          </w:pPr>
          <w:r w:rsidRPr="00A411FB">
            <w:rPr>
              <w:rFonts w:cs="Tahoma"/>
              <w:sz w:val="20"/>
              <w:szCs w:val="20"/>
            </w:rPr>
            <w:t xml:space="preserve">This work is licensed under a Creative Commons Attribution-NonCommercial-ShareAlike 4.0 International License. For more information: </w:t>
          </w:r>
          <w:hyperlink r:id="rId3" w:history="1">
            <w:r w:rsidRPr="00A411FB">
              <w:rPr>
                <w:rStyle w:val="Hyperlink"/>
                <w:rFonts w:cs="Tahoma"/>
                <w:sz w:val="20"/>
                <w:szCs w:val="20"/>
              </w:rPr>
              <w:t>https://creativecommons.org/licenses/by-nc-sa/4.0/</w:t>
            </w:r>
          </w:hyperlink>
          <w:r w:rsidRPr="00A411FB">
            <w:rPr>
              <w:rStyle w:val="Hyperlink"/>
              <w:rFonts w:cs="Tahoma"/>
              <w:sz w:val="20"/>
              <w:szCs w:val="20"/>
            </w:rPr>
            <w:t>.</w:t>
          </w:r>
          <w:r w:rsidRPr="00A411FB">
            <w:rPr>
              <w:rFonts w:cs="Tahoma"/>
              <w:sz w:val="20"/>
              <w:szCs w:val="20"/>
            </w:rPr>
            <w:t xml:space="preserve"> </w:t>
          </w:r>
        </w:p>
        <w:p w:rsidR="00B61124" w:rsidRPr="00A411FB" w:rsidRDefault="00B61124" w:rsidP="00B61124">
          <w:pPr>
            <w:jc w:val="center"/>
            <w:rPr>
              <w:rFonts w:cs="Tahoma"/>
              <w:b/>
              <w:sz w:val="20"/>
              <w:szCs w:val="20"/>
            </w:rPr>
          </w:pPr>
          <w:r w:rsidRPr="00A411FB">
            <w:rPr>
              <w:rFonts w:cs="Tahoma"/>
              <w:b/>
              <w:sz w:val="20"/>
              <w:szCs w:val="20"/>
            </w:rPr>
            <w:t>Preferred attribution:</w:t>
          </w:r>
        </w:p>
        <w:p w:rsidR="00B61124" w:rsidRPr="002E4015" w:rsidRDefault="00B61124" w:rsidP="00B61124">
          <w:pPr>
            <w:ind w:left="525" w:hanging="525"/>
            <w:rPr>
              <w:rFonts w:cs="Tahoma"/>
              <w:sz w:val="20"/>
              <w:szCs w:val="20"/>
            </w:rPr>
          </w:pPr>
          <w:bookmarkStart w:id="1" w:name="_Hlk488684227"/>
          <w:r w:rsidRPr="00A411FB">
            <w:rPr>
              <w:rFonts w:cs="Tahoma"/>
              <w:sz w:val="20"/>
              <w:szCs w:val="20"/>
            </w:rPr>
            <w:t>Hart, T. (2016</w:t>
          </w:r>
          <w:r w:rsidRPr="00A411FB">
            <w:rPr>
              <w:rFonts w:cs="Tahoma"/>
              <w:i/>
              <w:sz w:val="20"/>
              <w:szCs w:val="20"/>
            </w:rPr>
            <w:t xml:space="preserve">). </w:t>
          </w:r>
          <w:r w:rsidR="00A411FB" w:rsidRPr="00A411FB">
            <w:rPr>
              <w:rFonts w:cs="Tahoma"/>
              <w:i/>
              <w:sz w:val="20"/>
              <w:szCs w:val="20"/>
            </w:rPr>
            <w:t>Interprofessional event evaluation and feedback: Olivia Buffington</w:t>
          </w:r>
          <w:r w:rsidRPr="00A411FB">
            <w:rPr>
              <w:rFonts w:cs="Tahoma"/>
              <w:i/>
              <w:sz w:val="20"/>
              <w:szCs w:val="20"/>
            </w:rPr>
            <w:t>.</w:t>
          </w:r>
          <w:r w:rsidR="00A411FB" w:rsidRPr="00A411FB">
            <w:rPr>
              <w:rFonts w:cs="Tahoma"/>
              <w:i/>
              <w:sz w:val="20"/>
              <w:szCs w:val="20"/>
            </w:rPr>
            <w:t xml:space="preserve"> </w:t>
          </w:r>
          <w:r w:rsidRPr="00A411FB">
            <w:rPr>
              <w:rFonts w:cs="Tahoma"/>
              <w:sz w:val="20"/>
              <w:szCs w:val="20"/>
            </w:rPr>
            <w:t xml:space="preserve">(Senecal, J., Ed.) [Facilitator guide handout]. Phoenix AZ: Center for Advancing Interprofessional Practice, Education and Research, Arizona State University. Retrieved from </w:t>
          </w:r>
          <w:hyperlink r:id="rId4" w:history="1">
            <w:r w:rsidRPr="00A411FB">
              <w:rPr>
                <w:rStyle w:val="Hyperlink"/>
                <w:rFonts w:cs="Tahoma"/>
                <w:sz w:val="20"/>
                <w:szCs w:val="20"/>
              </w:rPr>
              <w:t>http://links.asu.edu/buffington</w:t>
            </w:r>
          </w:hyperlink>
          <w:r w:rsidRPr="002E4015">
            <w:rPr>
              <w:rFonts w:cs="Tahoma"/>
              <w:sz w:val="20"/>
              <w:szCs w:val="20"/>
            </w:rPr>
            <w:t xml:space="preserve"> </w:t>
          </w:r>
          <w:bookmarkEnd w:id="1"/>
        </w:p>
      </w:tc>
    </w:tr>
  </w:tbl>
  <w:p w:rsidR="00770140" w:rsidRPr="00B61124" w:rsidRDefault="00770140" w:rsidP="00B61124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EDB" w:rsidRDefault="00060EDB" w:rsidP="00770140">
      <w:pPr>
        <w:spacing w:after="0" w:line="240" w:lineRule="auto"/>
      </w:pPr>
      <w:r>
        <w:separator/>
      </w:r>
    </w:p>
  </w:footnote>
  <w:footnote w:type="continuationSeparator" w:id="0">
    <w:p w:rsidR="00060EDB" w:rsidRDefault="00060EDB" w:rsidP="00770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4400" w:type="dxa"/>
      <w:tblInd w:w="-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7"/>
      <w:gridCol w:w="13523"/>
    </w:tblGrid>
    <w:tr w:rsidR="00130680" w:rsidTr="000B6FD5">
      <w:tc>
        <w:tcPr>
          <w:tcW w:w="545" w:type="dxa"/>
        </w:tcPr>
        <w:p w:rsidR="00B61124" w:rsidRDefault="00B61124">
          <w:pPr>
            <w:pStyle w:val="Header"/>
            <w:rPr>
              <w:rFonts w:ascii="Cambria" w:hAnsi="Cambria"/>
              <w:b/>
              <w:sz w:val="24"/>
              <w:szCs w:val="24"/>
            </w:rPr>
          </w:pPr>
          <w:r>
            <w:rPr>
              <w:rFonts w:ascii="Cambria" w:hAnsi="Cambria"/>
              <w:b/>
              <w:noProof/>
              <w:sz w:val="24"/>
              <w:szCs w:val="24"/>
            </w:rPr>
            <w:drawing>
              <wp:inline distT="0" distB="0" distL="0" distR="0">
                <wp:extent cx="420135" cy="548381"/>
                <wp:effectExtent l="0" t="0" r="0" b="4445"/>
                <wp:docPr id="1" name="Graphic 1" descr="Checkli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ownload?provider=MicrosoftIcon&amp;fileName=Checklist_LTR.sv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rcRect l="11854" r="11532"/>
                        <a:stretch/>
                      </pic:blipFill>
                      <pic:spPr bwMode="auto">
                        <a:xfrm>
                          <a:off x="0" y="0"/>
                          <a:ext cx="420333" cy="548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55" w:type="dxa"/>
          <w:vAlign w:val="center"/>
        </w:tcPr>
        <w:p w:rsidR="00B61124" w:rsidRPr="00CC679D" w:rsidRDefault="00432B9F" w:rsidP="00B61124">
          <w:pPr>
            <w:pStyle w:val="Header"/>
            <w:rPr>
              <w:rFonts w:ascii="Cambria" w:hAnsi="Cambria"/>
              <w:b/>
              <w:sz w:val="28"/>
              <w:szCs w:val="28"/>
            </w:rPr>
          </w:pPr>
          <w:r>
            <w:rPr>
              <w:rFonts w:ascii="Cambria" w:hAnsi="Cambria"/>
              <w:b/>
              <w:sz w:val="28"/>
              <w:szCs w:val="28"/>
            </w:rPr>
            <w:t>Interprofessional Event Evaluation and Feedback</w:t>
          </w:r>
          <w:r w:rsidR="000B6FD5">
            <w:rPr>
              <w:rFonts w:ascii="Cambria" w:hAnsi="Cambria"/>
              <w:b/>
              <w:sz w:val="28"/>
              <w:szCs w:val="28"/>
            </w:rPr>
            <w:t>: Olivia Buffington</w:t>
          </w:r>
        </w:p>
      </w:tc>
    </w:tr>
  </w:tbl>
  <w:p w:rsidR="00B61124" w:rsidRPr="00B61124" w:rsidRDefault="00B61124" w:rsidP="00B61124">
    <w:pPr>
      <w:pStyle w:val="Header"/>
      <w:rPr>
        <w:rFonts w:ascii="Cambria" w:hAnsi="Cambria"/>
        <w:b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77667"/>
    <w:multiLevelType w:val="hybridMultilevel"/>
    <w:tmpl w:val="31922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0220F"/>
    <w:multiLevelType w:val="hybridMultilevel"/>
    <w:tmpl w:val="80DAD0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140"/>
    <w:rsid w:val="00060EDB"/>
    <w:rsid w:val="000B6FD5"/>
    <w:rsid w:val="00130680"/>
    <w:rsid w:val="001436AA"/>
    <w:rsid w:val="002E4015"/>
    <w:rsid w:val="00305061"/>
    <w:rsid w:val="003F033E"/>
    <w:rsid w:val="004014E6"/>
    <w:rsid w:val="00426EB2"/>
    <w:rsid w:val="00432B9F"/>
    <w:rsid w:val="004531E3"/>
    <w:rsid w:val="006C3BA1"/>
    <w:rsid w:val="006C3F07"/>
    <w:rsid w:val="007341E8"/>
    <w:rsid w:val="00755DE8"/>
    <w:rsid w:val="00770140"/>
    <w:rsid w:val="007D1CD5"/>
    <w:rsid w:val="00811076"/>
    <w:rsid w:val="009735FE"/>
    <w:rsid w:val="00A411FB"/>
    <w:rsid w:val="00A65ED6"/>
    <w:rsid w:val="00B61124"/>
    <w:rsid w:val="00CC679D"/>
    <w:rsid w:val="00D10A33"/>
    <w:rsid w:val="00D26FBB"/>
    <w:rsid w:val="00D801DA"/>
    <w:rsid w:val="00D874CA"/>
    <w:rsid w:val="00E7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B441D"/>
  <w15:chartTrackingRefBased/>
  <w15:docId w15:val="{BCDC611C-962D-4A68-82A2-19FFE499C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0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140"/>
  </w:style>
  <w:style w:type="paragraph" w:styleId="Footer">
    <w:name w:val="footer"/>
    <w:basedOn w:val="Normal"/>
    <w:link w:val="FooterChar"/>
    <w:uiPriority w:val="99"/>
    <w:unhideWhenUsed/>
    <w:rsid w:val="00770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140"/>
  </w:style>
  <w:style w:type="table" w:styleId="TableGrid">
    <w:name w:val="Table Grid"/>
    <w:basedOn w:val="TableNormal"/>
    <w:uiPriority w:val="39"/>
    <w:rsid w:val="00B61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6112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11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" TargetMode="External"/><Relationship Id="rId2" Type="http://schemas.openxmlformats.org/officeDocument/2006/relationships/image" Target="media/image3.png"/><Relationship Id="rId1" Type="http://schemas.openxmlformats.org/officeDocument/2006/relationships/hyperlink" Target="http://creativecommons.org/licenses/by-nc-sa/4.0/" TargetMode="External"/><Relationship Id="rId4" Type="http://schemas.openxmlformats.org/officeDocument/2006/relationships/hyperlink" Target="http://links.asu.edu/buffingto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334</Words>
  <Characters>1740</Characters>
  <Application>Microsoft Office Word</Application>
  <DocSecurity>0</DocSecurity>
  <Lines>102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Jinnette Senecal</dc:creator>
  <cp:keywords/>
  <dc:description/>
  <cp:lastModifiedBy>Jinnette Senecal</cp:lastModifiedBy>
  <cp:revision>5</cp:revision>
  <dcterms:created xsi:type="dcterms:W3CDTF">2017-07-26T21:42:00Z</dcterms:created>
  <dcterms:modified xsi:type="dcterms:W3CDTF">2017-07-26T21:49:00Z</dcterms:modified>
</cp:coreProperties>
</file>